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El Pollo Loco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T.A. McKinney</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CapitalSpring, 261 Madison Ave., 9th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981-0140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Louis Rambo</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Proskauer Rose, LLP, Eleven Times Square,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10036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969-3000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Kristian Herrmann</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Proskauer Rose, LLP, Eleven Times Square,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10036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969-3000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1161"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CSIP VI Corporate Acquisitions,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1,111,381.00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1,111,381.00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1,111,381.00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CSFC Financing 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2" w:name="page3"/>
    <w:bookmarkEnd w:id="2"/>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22,682.00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22,682.00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22,682.00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CSFC Management Company,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3" w:name="page4"/>
    <w:bookmarkEnd w:id="3"/>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1,134,063.00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1,134,063.00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1,134,063.00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3.8 %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CapitalSpring Finance Company,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1,134,063.00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1,134,063.00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1,134,063.00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3.8 %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Richard Fitzgerald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1,134,063.00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1,134,063.00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1,134,063.00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5" w:name="page6"/>
    <w:bookmarkEnd w:id="5"/>
    <w:p>
      <w:pPr>
        <w:spacing w:after="0" w:line="6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El Pollo Loco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575 Anton Blvd., Suite 1100, Costa Mesa, CALIFORNIA , 92626.</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Schedule 13D represents Amendment No. 2 to the Schedule 13D filed by CSIP VI Corporate Acquisitions, LP,</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CSFC Financing I, LLC, CSFC Management Company, LLC, CapitalSpring Finance Company, LLC, and Richard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Fitzgerald (the "Reporting Persons") on May 29, 2025, as amended by Amendment No. 1 thereto, filed on June 10, 2025, which represented a joint filing with W.K.S. Restaurant Corporation and Roland Spongberg (the "WKS</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Persons"). This Amendment No. 2 is made by the Reporting Persons.</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380"/>
        <w:spacing w:after="0" w:line="253" w:lineRule="auto"/>
        <w:rPr>
          <w:sz w:val="20"/>
          <w:szCs w:val="20"/>
          <w:color w:val="auto"/>
        </w:rPr>
      </w:pPr>
      <w:r>
        <w:rPr>
          <w:rFonts w:ascii="Times New Roman" w:cs="Times New Roman" w:eastAsia="Times New Roman" w:hAnsi="Times New Roman"/>
          <w:sz w:val="21"/>
          <w:szCs w:val="21"/>
          <w:color w:val="auto"/>
        </w:rPr>
        <w:t>Item 2 of the Schedule 13D is hereby amended and restated as follows: The names of the persons filing this report (collectively, the "Reporting Persons") with respect to shares of Common Stock, par value $0.01 per share (the</w:t>
      </w:r>
    </w:p>
    <w:p>
      <w:pPr>
        <w:spacing w:after="0" w:line="1" w:lineRule="exact"/>
        <w:rPr>
          <w:sz w:val="20"/>
          <w:szCs w:val="20"/>
          <w:color w:val="auto"/>
        </w:rPr>
      </w:pPr>
    </w:p>
    <w:p>
      <w:pPr>
        <w:ind w:left="920" w:right="40" w:hanging="912"/>
        <w:spacing w:after="0" w:line="235"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El Pollo Loco Holdings, Inc. (the "Issuer") are: (i) CSIP VI Corporate Acquisitions, LP ("CSIP VI") (ii) CSFC Financing I, LLC ("CSFC Fin I") (iii) CSFC Management Company, LLC ("CapitalSpring") (iv) CapitalSpring Finance Company, LLC ("CFC") (v) Richard Fitzgerald</w:t>
      </w:r>
    </w:p>
    <w:p>
      <w:pPr>
        <w:spacing w:after="0" w:line="15" w:lineRule="exact"/>
        <w:rPr>
          <w:rFonts w:ascii="Times New Roman" w:cs="Times New Roman" w:eastAsia="Times New Roman" w:hAnsi="Times New Roman"/>
          <w:sz w:val="22"/>
          <w:szCs w:val="22"/>
          <w:color w:val="auto"/>
        </w:rPr>
      </w:pPr>
    </w:p>
    <w:p>
      <w:pPr>
        <w:ind w:left="920" w:right="1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address of the principal business office of the Reporting Persons is 3100 West End Avenue, Suite 940, Nashville, TN 37203.</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CSIP VI and CSFC Fin I are investment funds engaged in the purchase, holding and sale of securities for investment</w:t>
      </w:r>
    </w:p>
    <w:p>
      <w:pPr>
        <w:spacing w:after="0" w:line="25" w:lineRule="exact"/>
        <w:rPr>
          <w:rFonts w:ascii="Times New Roman" w:cs="Times New Roman" w:eastAsia="Times New Roman" w:hAnsi="Times New Roman"/>
          <w:sz w:val="39"/>
          <w:szCs w:val="39"/>
          <w:color w:val="auto"/>
          <w:vertAlign w:val="subscript"/>
        </w:rPr>
      </w:pPr>
    </w:p>
    <w:p>
      <w:pPr>
        <w:ind w:left="920" w:right="80" w:hanging="912"/>
        <w:spacing w:after="0" w:line="237"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purposes. CFC is the parent company of CapitalSpring. CapitalSpring is the manager of CSFC Fin I and CFC and the investment manager of CSIP VI. Mr. Fitzgerald is the Managing Partner of CapitalSpring.</w:t>
      </w:r>
    </w:p>
    <w:p>
      <w:pPr>
        <w:spacing w:after="0" w:line="16" w:lineRule="exact"/>
        <w:rPr>
          <w:rFonts w:ascii="Times New Roman" w:cs="Times New Roman" w:eastAsia="Times New Roman" w:hAnsi="Times New Roman"/>
          <w:sz w:val="22"/>
          <w:szCs w:val="22"/>
          <w:color w:val="auto"/>
        </w:rPr>
      </w:pPr>
    </w:p>
    <w:p>
      <w:pPr>
        <w:ind w:left="920" w:right="7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Reporting Person has,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No Reporting Person has, during the last five years, been a party to a civil proceeding of a judicial or administrative</w:t>
      </w:r>
    </w:p>
    <w:p>
      <w:pPr>
        <w:spacing w:after="0" w:line="14" w:lineRule="exact"/>
        <w:rPr>
          <w:rFonts w:ascii="Times New Roman" w:cs="Times New Roman" w:eastAsia="Times New Roman" w:hAnsi="Times New Roman"/>
          <w:sz w:val="39"/>
          <w:szCs w:val="39"/>
          <w:color w:val="auto"/>
          <w:vertAlign w:val="subscript"/>
        </w:rPr>
      </w:pPr>
    </w:p>
    <w:p>
      <w:pPr>
        <w:ind w:left="920" w:right="20" w:hanging="912"/>
        <w:spacing w:after="0" w:line="184"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right="6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CSIP VI is a Delaware limited partnership. Each of CSFC Fin I, CapitalSpring, and CFC is a Delaware limited liability company. Mr. Fitzgerald is a United States citizen.</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60"/>
        <w:spacing w:after="0" w:line="246" w:lineRule="auto"/>
        <w:rPr>
          <w:sz w:val="20"/>
          <w:szCs w:val="20"/>
          <w:color w:val="auto"/>
        </w:rPr>
      </w:pPr>
      <w:r>
        <w:rPr>
          <w:rFonts w:ascii="Times New Roman" w:cs="Times New Roman" w:eastAsia="Times New Roman" w:hAnsi="Times New Roman"/>
          <w:sz w:val="21"/>
          <w:szCs w:val="21"/>
          <w:color w:val="auto"/>
        </w:rPr>
        <w:t>Item 4 of the Schedule 13D is hereby amended and supplemented as follows: The information set forth in Item 5(c) of this Amendment No. 2 is incorporated by reference into this Item 4. The Reporting Persons may, at any time, and subject to compliance with applicable securities laws and regulatory requirements, dispose of or distribute some or all of their remaining Shares of common stock or other securities of the Issuer depending on various factors, including, but not limited to, the price of the Shares, the terms and conditions of the transaction and prevailing market conditions, as well as the liquidity and diversification objectives of the Reporting Persons. Representatives of the Reporting Persons do not currently intend to have additional discussions with the Issuer's management or other third parties regarding the matters discussed in Item 4 of Amendment No. 1 to this Schedule 13D. The Reporting Persons expect to continuously review their investment in the Issuer and may, at any time and from time to time, review or reconsider their position and/or change their purpose and/or formulate plans or proposals with respect thereto.</w:t>
      </w:r>
    </w:p>
    <w:p>
      <w:pPr>
        <w:spacing w:after="0" w:line="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80"/>
        <w:spacing w:after="0" w:line="253" w:lineRule="auto"/>
        <w:rPr>
          <w:sz w:val="20"/>
          <w:szCs w:val="20"/>
          <w:color w:val="auto"/>
        </w:rPr>
      </w:pPr>
      <w:r>
        <w:rPr>
          <w:rFonts w:ascii="Times New Roman" w:cs="Times New Roman" w:eastAsia="Times New Roman" w:hAnsi="Times New Roman"/>
          <w:sz w:val="21"/>
          <w:szCs w:val="21"/>
          <w:color w:val="auto"/>
        </w:rPr>
        <w:t>Item 5 of the Schedule 13D is hereby amended and supplemented as follows: CSIP VI holds 1,111,381 Shares. CSFC Fin I holds 22,682 Shares. No Shares beneficially owned by the WKS Persons are included in this Amendment No. 2</w:t>
      </w:r>
    </w:p>
    <w:p>
      <w:pPr>
        <w:spacing w:after="0" w:line="1" w:lineRule="exact"/>
        <w:rPr>
          <w:sz w:val="20"/>
          <w:szCs w:val="20"/>
          <w:color w:val="auto"/>
        </w:rPr>
      </w:pPr>
    </w:p>
    <w:p>
      <w:pPr>
        <w:ind w:left="920" w:right="140" w:hanging="912"/>
        <w:spacing w:after="0" w:line="235"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Schedule 13D. The ownership percentages set forth on the cover pages to this Amendment No. 2 to Schedule 13D are based on 29,956,259 Shares outstanding as of March 6, 2026, as reported by the Issuer in its Annual Report on Form 10-K filed with the Securities and Exchange Commission on March 13, 2026.</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rows (7) through (10) of the cover pages to this Amendment No. 2 to Schedule 13D for the number of Shares as</w:t>
      </w:r>
    </w:p>
    <w:p>
      <w:pPr>
        <w:spacing w:after="0" w:line="14" w:lineRule="exact"/>
        <w:rPr>
          <w:rFonts w:ascii="Times New Roman" w:cs="Times New Roman" w:eastAsia="Times New Roman" w:hAnsi="Times New Roman"/>
          <w:sz w:val="22"/>
          <w:szCs w:val="22"/>
          <w:color w:val="auto"/>
        </w:rPr>
      </w:pPr>
    </w:p>
    <w:p>
      <w:pPr>
        <w:ind w:left="920" w:right="360" w:hanging="912"/>
        <w:spacing w:after="0" w:line="237"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which each Reporting Person has the sole or shared power to vote or direct the vote and sole or shared power to dispose or to direct the disposition.</w:t>
      </w:r>
    </w:p>
    <w:p>
      <w:pPr>
        <w:spacing w:after="0" w:line="16" w:lineRule="exact"/>
        <w:rPr>
          <w:rFonts w:ascii="Times New Roman" w:cs="Times New Roman" w:eastAsia="Times New Roman" w:hAnsi="Times New Roman"/>
          <w:sz w:val="22"/>
          <w:szCs w:val="22"/>
          <w:color w:val="auto"/>
        </w:rPr>
      </w:pPr>
    </w:p>
    <w:p>
      <w:pPr>
        <w:ind w:left="920" w:right="8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set forth on Schedule A to this Amendment No. 2, none of the Reporting Persons has effected any transaction with respect to the Shares during the past sixty (60) days.</w:t>
      </w:r>
    </w:p>
    <w:p>
      <w:pPr>
        <w:spacing w:after="0" w:line="17" w:lineRule="exact"/>
        <w:rPr>
          <w:rFonts w:ascii="Times New Roman" w:cs="Times New Roman" w:eastAsia="Times New Roman" w:hAnsi="Times New Roman"/>
          <w:sz w:val="39"/>
          <w:szCs w:val="39"/>
          <w:color w:val="auto"/>
          <w:vertAlign w:val="subscript"/>
        </w:rPr>
      </w:pPr>
    </w:p>
    <w:p>
      <w:pPr>
        <w:ind w:left="920" w:right="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Reporting Persons, has the right to receive or the power to direct the receipt of dividends or proceeds of the sale of the Shares reported herein.</w:t>
      </w:r>
    </w:p>
    <w:p>
      <w:pPr>
        <w:spacing w:after="0" w:line="17" w:lineRule="exact"/>
        <w:rPr>
          <w:rFonts w:ascii="Times New Roman" w:cs="Times New Roman" w:eastAsia="Times New Roman" w:hAnsi="Times New Roman"/>
          <w:sz w:val="39"/>
          <w:szCs w:val="39"/>
          <w:color w:val="auto"/>
          <w:vertAlign w:val="subscript"/>
        </w:rPr>
      </w:pPr>
    </w:p>
    <w:p>
      <w:pPr>
        <w:ind w:left="920" w:right="74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As of April 1, 2026, the Reporting Persons ceased to be the beneficial owners of more than five percent of the outstanding Shares of the Issuer.</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w:t>
      </w:r>
    </w:p>
    <w:p>
      <w:pPr>
        <w:sectPr>
          <w:pgSz w:w="11900" w:h="16901" w:orient="portrait"/>
          <w:cols w:equalWidth="0" w:num="1">
            <w:col w:w="11160"/>
          </w:cols>
          <w:pgMar w:left="360" w:top="193" w:right="379" w:bottom="0" w:gutter="0" w:footer="0" w:header="0"/>
        </w:sectPr>
      </w:pPr>
    </w:p>
    <w:bookmarkStart w:id="6" w:name="page7"/>
    <w:bookmarkEnd w:id="6"/>
    <w:p>
      <w:pPr>
        <w:ind w:left="400"/>
        <w:spacing w:after="0"/>
        <w:rPr>
          <w:sz w:val="20"/>
          <w:szCs w:val="20"/>
          <w:color w:val="auto"/>
        </w:rPr>
      </w:pPr>
      <w:r>
        <w:rPr>
          <w:rFonts w:ascii="Times New Roman" w:cs="Times New Roman" w:eastAsia="Times New Roman" w:hAnsi="Times New Roman"/>
          <w:sz w:val="22"/>
          <w:szCs w:val="22"/>
          <w:color w:val="auto"/>
        </w:rPr>
        <w:t>this statement is true, complete and correct.</w:t>
      </w:r>
    </w:p>
    <w:p>
      <w:pPr>
        <w:spacing w:after="0" w:line="35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CSIP VI Corporate Acquisitions, LP</w:t>
      </w:r>
    </w:p>
    <w:p>
      <w:pPr>
        <w:spacing w:after="0" w:line="152"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Richard Fitzgerald</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1"/>
          <w:szCs w:val="21"/>
          <w:color w:val="auto"/>
        </w:rPr>
        <w:t>Name/Title: Richard Fitzgerald, Managing Partner</w:t>
      </w:r>
    </w:p>
    <w:p>
      <w:pPr>
        <w:spacing w:after="0" w:line="56"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04/10/2026</w:t>
      </w:r>
    </w:p>
    <w:p>
      <w:pPr>
        <w:spacing w:after="0" w:line="15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CSFC Financing I, LLC</w:t>
      </w:r>
    </w:p>
    <w:p>
      <w:pPr>
        <w:spacing w:after="0" w:line="152"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Richard Fitzgerald</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1"/>
          <w:szCs w:val="21"/>
          <w:color w:val="auto"/>
        </w:rPr>
        <w:t>Name/Title: Richard Fitzgerald, Managing Partner</w:t>
      </w:r>
    </w:p>
    <w:p>
      <w:pPr>
        <w:spacing w:after="0" w:line="56"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04/10/2026</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CSFC Management Company, LLC</w:t>
      </w:r>
    </w:p>
    <w:p>
      <w:pPr>
        <w:spacing w:after="0" w:line="152"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Richard Fitzgerald</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1"/>
          <w:szCs w:val="21"/>
          <w:color w:val="auto"/>
        </w:rPr>
        <w:t>Name/Title: Richard Fitzgerald, Managing Partner</w:t>
      </w:r>
    </w:p>
    <w:p>
      <w:pPr>
        <w:spacing w:after="0" w:line="56"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04/10/2026</w:t>
      </w:r>
    </w:p>
    <w:p>
      <w:pPr>
        <w:spacing w:after="0" w:line="15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CapitalSpring Finance Company, LLC</w:t>
      </w:r>
    </w:p>
    <w:p>
      <w:pPr>
        <w:spacing w:after="0" w:line="152"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Richard Fitzgerald</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1"/>
          <w:szCs w:val="21"/>
          <w:color w:val="auto"/>
        </w:rPr>
        <w:t>Name/Title: Richard Fitzgerald, Managing Partner</w:t>
      </w:r>
    </w:p>
    <w:p>
      <w:pPr>
        <w:spacing w:after="0" w:line="56"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04/10/2026</w:t>
      </w:r>
    </w:p>
    <w:p>
      <w:pPr>
        <w:spacing w:after="0" w:line="1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Richard Fitzgerald</w:t>
      </w:r>
    </w:p>
    <w:p>
      <w:pPr>
        <w:spacing w:after="0" w:line="152"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Richard Fitzgerald</w:t>
      </w:r>
    </w:p>
    <w:p>
      <w:pPr>
        <w:spacing w:after="0" w:line="4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Name/Title: Richard Fitzgerald</w:t>
      </w:r>
    </w:p>
    <w:p>
      <w:pPr>
        <w:spacing w:after="0" w:line="44"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04/10/2026</w:t>
      </w:r>
    </w:p>
    <w:p>
      <w:pPr>
        <w:sectPr>
          <w:pgSz w:w="11900" w:h="16838" w:orient="portrait"/>
          <w:cols w:equalWidth="0" w:num="1">
            <w:col w:w="9019"/>
          </w:cols>
          <w:pgMar w:left="1440" w:top="111" w:right="1440"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A</w:t>
            </w:r>
          </w:p>
        </w:tc>
        <w:tc>
          <w:tcPr>
            <w:tcW w:w="5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3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0"/>
                <w:szCs w:val="20"/>
                <w:b w:val="1"/>
                <w:bCs w:val="1"/>
                <w:color w:val="auto"/>
              </w:rPr>
              <w:t>Number of Shares</w:t>
            </w:r>
          </w:p>
        </w:tc>
        <w:tc>
          <w:tcPr>
            <w:tcW w:w="0" w:type="dxa"/>
            <w:vAlign w:val="bottom"/>
          </w:tcPr>
          <w:p>
            <w:pPr>
              <w:spacing w:after="0"/>
              <w:rPr>
                <w:sz w:val="1"/>
                <w:szCs w:val="1"/>
                <w:color w:val="auto"/>
              </w:rPr>
            </w:pPr>
          </w:p>
        </w:tc>
      </w:tr>
      <w:tr>
        <w:trPr>
          <w:trHeight w:val="200"/>
        </w:trPr>
        <w:tc>
          <w:tcPr>
            <w:tcW w:w="1460" w:type="dxa"/>
            <w:vAlign w:val="bottom"/>
            <w:tcBorders>
              <w:left w:val="single" w:sz="8" w:color="auto"/>
              <w:right w:val="single" w:sz="8" w:color="auto"/>
            </w:tcBorders>
            <w:vMerge w:val="restart"/>
          </w:tcPr>
          <w:p>
            <w:pPr>
              <w:jc w:val="right"/>
              <w:ind w:right="401"/>
              <w:spacing w:after="0"/>
              <w:rPr>
                <w:sz w:val="20"/>
                <w:szCs w:val="20"/>
                <w:color w:val="auto"/>
              </w:rPr>
            </w:pPr>
            <w:r>
              <w:rPr>
                <w:rFonts w:ascii="Arial" w:cs="Arial" w:eastAsia="Arial" w:hAnsi="Arial"/>
                <w:sz w:val="20"/>
                <w:szCs w:val="20"/>
                <w:b w:val="1"/>
                <w:bCs w:val="1"/>
                <w:color w:val="auto"/>
              </w:rPr>
              <w:t>Date</w:t>
            </w:r>
          </w:p>
        </w:tc>
        <w:tc>
          <w:tcPr>
            <w:tcW w:w="1300" w:type="dxa"/>
            <w:vAlign w:val="bottom"/>
            <w:tcBorders>
              <w:right w:val="single" w:sz="8" w:color="auto"/>
            </w:tcBorders>
          </w:tcPr>
          <w:p>
            <w:pPr>
              <w:jc w:val="center"/>
              <w:spacing w:after="0" w:line="200" w:lineRule="exact"/>
              <w:rPr>
                <w:sz w:val="20"/>
                <w:szCs w:val="20"/>
                <w:color w:val="auto"/>
              </w:rPr>
            </w:pPr>
            <w:r>
              <w:rPr>
                <w:rFonts w:ascii="Arial" w:cs="Arial" w:eastAsia="Arial" w:hAnsi="Arial"/>
                <w:sz w:val="20"/>
                <w:szCs w:val="20"/>
                <w:b w:val="1"/>
                <w:bCs w:val="1"/>
                <w:color w:val="auto"/>
                <w:w w:val="98"/>
              </w:rPr>
              <w:t>Transactio</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8"/>
              </w:rPr>
              <w:t>Price</w:t>
            </w:r>
          </w:p>
        </w:tc>
        <w:tc>
          <w:tcPr>
            <w:tcW w:w="2560" w:type="dxa"/>
            <w:vAlign w:val="bottom"/>
            <w:gridSpan w:val="3"/>
          </w:tcPr>
          <w:p>
            <w:pPr>
              <w:ind w:left="520"/>
              <w:spacing w:after="0" w:line="200" w:lineRule="exact"/>
              <w:rPr>
                <w:sz w:val="20"/>
                <w:szCs w:val="20"/>
                <w:color w:val="auto"/>
              </w:rPr>
            </w:pPr>
            <w:r>
              <w:rPr>
                <w:rFonts w:ascii="Arial" w:cs="Arial" w:eastAsia="Arial" w:hAnsi="Arial"/>
                <w:sz w:val="20"/>
                <w:szCs w:val="20"/>
                <w:color w:val="auto"/>
                <w:w w:val="99"/>
              </w:rPr>
              <w:t>CSIP VI CORPORATE</w:t>
            </w:r>
          </w:p>
        </w:tc>
        <w:tc>
          <w:tcPr>
            <w:tcW w:w="58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460" w:type="dxa"/>
            <w:vAlign w:val="bottom"/>
            <w:tcBorders>
              <w:left w:val="single" w:sz="8" w:color="auto"/>
              <w:bottom w:val="single" w:sz="8" w:color="auto"/>
              <w:right w:val="single" w:sz="8" w:color="auto"/>
            </w:tcBorders>
            <w:vMerge w:val="continue"/>
          </w:tcPr>
          <w:p>
            <w:pPr>
              <w:spacing w:after="0"/>
              <w:rPr>
                <w:sz w:val="23"/>
                <w:szCs w:val="23"/>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n</w:t>
            </w:r>
          </w:p>
        </w:tc>
        <w:tc>
          <w:tcPr>
            <w:tcW w:w="1580" w:type="dxa"/>
            <w:vAlign w:val="bottom"/>
            <w:tcBorders>
              <w:bottom w:val="single" w:sz="8" w:color="auto"/>
              <w:right w:val="single" w:sz="8" w:color="auto"/>
            </w:tcBorders>
            <w:vMerge w:val="continue"/>
          </w:tcPr>
          <w:p>
            <w:pPr>
              <w:spacing w:after="0"/>
              <w:rPr>
                <w:sz w:val="23"/>
                <w:szCs w:val="23"/>
                <w:color w:val="auto"/>
              </w:rPr>
            </w:pPr>
          </w:p>
        </w:tc>
        <w:tc>
          <w:tcPr>
            <w:tcW w:w="2560" w:type="dxa"/>
            <w:vAlign w:val="bottom"/>
            <w:tcBorders>
              <w:bottom w:val="single" w:sz="8" w:color="auto"/>
            </w:tcBorders>
            <w:gridSpan w:val="3"/>
          </w:tcPr>
          <w:p>
            <w:pPr>
              <w:ind w:left="660"/>
              <w:spacing w:after="0"/>
              <w:rPr>
                <w:sz w:val="20"/>
                <w:szCs w:val="20"/>
                <w:color w:val="auto"/>
              </w:rPr>
            </w:pPr>
            <w:r>
              <w:rPr>
                <w:rFonts w:ascii="Arial" w:cs="Arial" w:eastAsia="Arial" w:hAnsi="Arial"/>
                <w:sz w:val="20"/>
                <w:szCs w:val="20"/>
                <w:color w:val="auto"/>
              </w:rPr>
              <w:t>ACQUISITIONS, LP</w:t>
            </w:r>
          </w:p>
        </w:tc>
        <w:tc>
          <w:tcPr>
            <w:tcW w:w="580" w:type="dxa"/>
            <w:vAlign w:val="bottom"/>
            <w:tcBorders>
              <w:bottom w:val="single" w:sz="8" w:color="auto"/>
              <w:right w:val="single" w:sz="8" w:color="auto"/>
            </w:tcBorders>
          </w:tcPr>
          <w:p>
            <w:pPr>
              <w:spacing w:after="0"/>
              <w:rPr>
                <w:sz w:val="23"/>
                <w:szCs w:val="23"/>
                <w:color w:val="auto"/>
              </w:rPr>
            </w:pPr>
          </w:p>
        </w:tc>
        <w:tc>
          <w:tcPr>
            <w:tcW w:w="376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20"/>
                <w:szCs w:val="20"/>
                <w:color w:val="auto"/>
              </w:rPr>
              <w:t>CSFC Financing I, LLC</w:t>
            </w:r>
          </w:p>
        </w:tc>
        <w:tc>
          <w:tcPr>
            <w:tcW w:w="0" w:type="dxa"/>
            <w:vAlign w:val="bottom"/>
          </w:tcPr>
          <w:p>
            <w:pPr>
              <w:spacing w:after="0"/>
              <w:rPr>
                <w:sz w:val="1"/>
                <w:szCs w:val="1"/>
                <w:color w:val="auto"/>
              </w:rPr>
            </w:pPr>
          </w:p>
        </w:tc>
      </w:tr>
      <w:tr>
        <w:trPr>
          <w:trHeight w:val="220"/>
        </w:trPr>
        <w:tc>
          <w:tcPr>
            <w:tcW w:w="1460" w:type="dxa"/>
            <w:vAlign w:val="bottom"/>
            <w:tcBorders>
              <w:bottom w:val="single" w:sz="8" w:color="auto"/>
              <w:right w:val="single" w:sz="8" w:color="auto"/>
            </w:tcBorders>
          </w:tcPr>
          <w:p>
            <w:pPr>
              <w:jc w:val="right"/>
              <w:ind w:right="21"/>
              <w:spacing w:after="0" w:line="220" w:lineRule="exact"/>
              <w:rPr>
                <w:sz w:val="20"/>
                <w:szCs w:val="20"/>
                <w:color w:val="auto"/>
              </w:rPr>
            </w:pPr>
            <w:r>
              <w:rPr>
                <w:rFonts w:ascii="Arial" w:cs="Arial" w:eastAsia="Arial" w:hAnsi="Arial"/>
                <w:sz w:val="20"/>
                <w:szCs w:val="20"/>
                <w:color w:val="auto"/>
              </w:rPr>
              <w:t>3/25/2026</w:t>
            </w:r>
          </w:p>
        </w:tc>
        <w:tc>
          <w:tcPr>
            <w:tcW w:w="1300" w:type="dxa"/>
            <w:vAlign w:val="bottom"/>
            <w:tcBorders>
              <w:bottom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color w:val="auto"/>
                <w:w w:val="95"/>
              </w:rPr>
              <w:t>Sell</w:t>
            </w:r>
          </w:p>
        </w:tc>
        <w:tc>
          <w:tcPr>
            <w:tcW w:w="1580" w:type="dxa"/>
            <w:vAlign w:val="bottom"/>
            <w:tcBorders>
              <w:bottom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color w:val="auto"/>
                <w:w w:val="98"/>
              </w:rPr>
              <w:t>$14.2475</w:t>
            </w:r>
          </w:p>
        </w:tc>
        <w:tc>
          <w:tcPr>
            <w:tcW w:w="2560" w:type="dxa"/>
            <w:vAlign w:val="bottom"/>
            <w:tcBorders>
              <w:bottom w:val="single" w:sz="8" w:color="auto"/>
            </w:tcBorders>
            <w:gridSpan w:val="3"/>
          </w:tcPr>
          <w:p>
            <w:pPr>
              <w:jc w:val="center"/>
              <w:ind w:left="441"/>
              <w:spacing w:after="0" w:line="220" w:lineRule="exact"/>
              <w:rPr>
                <w:sz w:val="20"/>
                <w:szCs w:val="20"/>
                <w:color w:val="auto"/>
              </w:rPr>
            </w:pPr>
            <w:r>
              <w:rPr>
                <w:rFonts w:ascii="Arial" w:cs="Arial" w:eastAsia="Arial" w:hAnsi="Arial"/>
                <w:sz w:val="20"/>
                <w:szCs w:val="20"/>
                <w:color w:val="auto"/>
                <w:w w:val="99"/>
              </w:rPr>
              <w:t>9,800</w:t>
            </w:r>
          </w:p>
        </w:tc>
        <w:tc>
          <w:tcPr>
            <w:tcW w:w="580" w:type="dxa"/>
            <w:vAlign w:val="bottom"/>
            <w:tcBorders>
              <w:bottom w:val="single" w:sz="8" w:color="auto"/>
              <w:right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color w:val="auto"/>
              </w:rPr>
              <w:t>200</w:t>
            </w:r>
          </w:p>
        </w:tc>
        <w:tc>
          <w:tcPr>
            <w:tcW w:w="0" w:type="dxa"/>
            <w:vAlign w:val="bottom"/>
          </w:tcPr>
          <w:p>
            <w:pPr>
              <w:spacing w:after="0"/>
              <w:rPr>
                <w:sz w:val="1"/>
                <w:szCs w:val="1"/>
                <w:color w:val="auto"/>
              </w:rPr>
            </w:pPr>
          </w:p>
        </w:tc>
      </w:tr>
      <w:tr>
        <w:trPr>
          <w:trHeight w:val="237"/>
        </w:trPr>
        <w:tc>
          <w:tcPr>
            <w:tcW w:w="146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3/26/2026</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Sell</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$14.1761</w:t>
            </w:r>
          </w:p>
        </w:tc>
        <w:tc>
          <w:tcPr>
            <w:tcW w:w="256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20"/>
                <w:szCs w:val="20"/>
                <w:color w:val="auto"/>
              </w:rPr>
              <w:t>63,034</w:t>
            </w:r>
          </w:p>
        </w:tc>
        <w:tc>
          <w:tcPr>
            <w:tcW w:w="58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1,286</w:t>
            </w:r>
          </w:p>
        </w:tc>
        <w:tc>
          <w:tcPr>
            <w:tcW w:w="0" w:type="dxa"/>
            <w:vAlign w:val="bottom"/>
          </w:tcPr>
          <w:p>
            <w:pPr>
              <w:spacing w:after="0"/>
              <w:rPr>
                <w:sz w:val="1"/>
                <w:szCs w:val="1"/>
                <w:color w:val="auto"/>
              </w:rPr>
            </w:pPr>
          </w:p>
        </w:tc>
      </w:tr>
      <w:tr>
        <w:trPr>
          <w:trHeight w:val="237"/>
        </w:trPr>
        <w:tc>
          <w:tcPr>
            <w:tcW w:w="146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3/27/2026</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Sell</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$13.9430</w:t>
            </w:r>
          </w:p>
        </w:tc>
        <w:tc>
          <w:tcPr>
            <w:tcW w:w="256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20"/>
                <w:szCs w:val="20"/>
                <w:color w:val="auto"/>
                <w:w w:val="99"/>
              </w:rPr>
              <w:t>3,107</w:t>
            </w:r>
          </w:p>
        </w:tc>
        <w:tc>
          <w:tcPr>
            <w:tcW w:w="58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64</w:t>
            </w:r>
          </w:p>
        </w:tc>
        <w:tc>
          <w:tcPr>
            <w:tcW w:w="0" w:type="dxa"/>
            <w:vAlign w:val="bottom"/>
          </w:tcPr>
          <w:p>
            <w:pPr>
              <w:spacing w:after="0"/>
              <w:rPr>
                <w:sz w:val="1"/>
                <w:szCs w:val="1"/>
                <w:color w:val="auto"/>
              </w:rPr>
            </w:pPr>
          </w:p>
        </w:tc>
      </w:tr>
      <w:tr>
        <w:trPr>
          <w:trHeight w:val="236"/>
        </w:trPr>
        <w:tc>
          <w:tcPr>
            <w:tcW w:w="146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3/30/2026</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Sell</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$13.9092</w:t>
            </w:r>
          </w:p>
        </w:tc>
        <w:tc>
          <w:tcPr>
            <w:tcW w:w="256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20"/>
                <w:szCs w:val="20"/>
                <w:color w:val="auto"/>
                <w:w w:val="99"/>
              </w:rPr>
              <w:t>3,092</w:t>
            </w:r>
          </w:p>
        </w:tc>
        <w:tc>
          <w:tcPr>
            <w:tcW w:w="58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63</w:t>
            </w:r>
          </w:p>
        </w:tc>
        <w:tc>
          <w:tcPr>
            <w:tcW w:w="0" w:type="dxa"/>
            <w:vAlign w:val="bottom"/>
          </w:tcPr>
          <w:p>
            <w:pPr>
              <w:spacing w:after="0"/>
              <w:rPr>
                <w:sz w:val="1"/>
                <w:szCs w:val="1"/>
                <w:color w:val="auto"/>
              </w:rPr>
            </w:pPr>
          </w:p>
        </w:tc>
      </w:tr>
      <w:tr>
        <w:trPr>
          <w:trHeight w:val="237"/>
        </w:trPr>
        <w:tc>
          <w:tcPr>
            <w:tcW w:w="146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3/31/2026</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Sell</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$13.9076</w:t>
            </w:r>
          </w:p>
        </w:tc>
        <w:tc>
          <w:tcPr>
            <w:tcW w:w="256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20"/>
                <w:szCs w:val="20"/>
                <w:color w:val="auto"/>
              </w:rPr>
              <w:t>921</w:t>
            </w:r>
          </w:p>
        </w:tc>
        <w:tc>
          <w:tcPr>
            <w:tcW w:w="58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19</w:t>
            </w:r>
          </w:p>
        </w:tc>
        <w:tc>
          <w:tcPr>
            <w:tcW w:w="0" w:type="dxa"/>
            <w:vAlign w:val="bottom"/>
          </w:tcPr>
          <w:p>
            <w:pPr>
              <w:spacing w:after="0"/>
              <w:rPr>
                <w:sz w:val="1"/>
                <w:szCs w:val="1"/>
                <w:color w:val="auto"/>
              </w:rPr>
            </w:pPr>
          </w:p>
        </w:tc>
      </w:tr>
      <w:tr>
        <w:trPr>
          <w:trHeight w:val="237"/>
        </w:trPr>
        <w:tc>
          <w:tcPr>
            <w:tcW w:w="146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4/1/2026</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Sell</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$13.9384</w:t>
            </w:r>
          </w:p>
        </w:tc>
        <w:tc>
          <w:tcPr>
            <w:tcW w:w="256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20"/>
                <w:szCs w:val="20"/>
                <w:color w:val="auto"/>
              </w:rPr>
              <w:t>23,559</w:t>
            </w:r>
          </w:p>
        </w:tc>
        <w:tc>
          <w:tcPr>
            <w:tcW w:w="58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481</w:t>
            </w:r>
          </w:p>
        </w:tc>
        <w:tc>
          <w:tcPr>
            <w:tcW w:w="0" w:type="dxa"/>
            <w:vAlign w:val="bottom"/>
          </w:tcPr>
          <w:p>
            <w:pPr>
              <w:spacing w:after="0"/>
              <w:rPr>
                <w:sz w:val="1"/>
                <w:szCs w:val="1"/>
                <w:color w:val="auto"/>
              </w:rPr>
            </w:pPr>
          </w:p>
        </w:tc>
      </w:tr>
      <w:tr>
        <w:trPr>
          <w:trHeight w:val="237"/>
        </w:trPr>
        <w:tc>
          <w:tcPr>
            <w:tcW w:w="146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4/2/2026</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Sell</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$13.8985</w:t>
            </w:r>
          </w:p>
        </w:tc>
        <w:tc>
          <w:tcPr>
            <w:tcW w:w="256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20"/>
                <w:szCs w:val="20"/>
                <w:color w:val="auto"/>
              </w:rPr>
              <w:t>13,763</w:t>
            </w:r>
          </w:p>
        </w:tc>
        <w:tc>
          <w:tcPr>
            <w:tcW w:w="58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281</w:t>
            </w:r>
          </w:p>
        </w:tc>
        <w:tc>
          <w:tcPr>
            <w:tcW w:w="0" w:type="dxa"/>
            <w:vAlign w:val="bottom"/>
          </w:tcPr>
          <w:p>
            <w:pPr>
              <w:spacing w:after="0"/>
              <w:rPr>
                <w:sz w:val="1"/>
                <w:szCs w:val="1"/>
                <w:color w:val="auto"/>
              </w:rPr>
            </w:pPr>
          </w:p>
        </w:tc>
      </w:tr>
      <w:tr>
        <w:trPr>
          <w:trHeight w:val="237"/>
        </w:trPr>
        <w:tc>
          <w:tcPr>
            <w:tcW w:w="146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4/6/2026</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Sell</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$14.2860</w:t>
            </w:r>
          </w:p>
        </w:tc>
        <w:tc>
          <w:tcPr>
            <w:tcW w:w="256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20"/>
                <w:szCs w:val="20"/>
                <w:color w:val="auto"/>
              </w:rPr>
              <w:t>89,937</w:t>
            </w:r>
          </w:p>
        </w:tc>
        <w:tc>
          <w:tcPr>
            <w:tcW w:w="58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1,835</w:t>
            </w:r>
          </w:p>
        </w:tc>
        <w:tc>
          <w:tcPr>
            <w:tcW w:w="0" w:type="dxa"/>
            <w:vAlign w:val="bottom"/>
          </w:tcPr>
          <w:p>
            <w:pPr>
              <w:spacing w:after="0"/>
              <w:rPr>
                <w:sz w:val="1"/>
                <w:szCs w:val="1"/>
                <w:color w:val="auto"/>
              </w:rPr>
            </w:pPr>
          </w:p>
        </w:tc>
      </w:tr>
      <w:tr>
        <w:trPr>
          <w:trHeight w:val="236"/>
        </w:trPr>
        <w:tc>
          <w:tcPr>
            <w:tcW w:w="146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4/7/2026</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Sell</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$13.9702</w:t>
            </w:r>
          </w:p>
        </w:tc>
        <w:tc>
          <w:tcPr>
            <w:tcW w:w="256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20"/>
                <w:szCs w:val="20"/>
                <w:color w:val="auto"/>
              </w:rPr>
              <w:t>66,920</w:t>
            </w:r>
          </w:p>
        </w:tc>
        <w:tc>
          <w:tcPr>
            <w:tcW w:w="58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1,366</w:t>
            </w:r>
          </w:p>
        </w:tc>
        <w:tc>
          <w:tcPr>
            <w:tcW w:w="0" w:type="dxa"/>
            <w:vAlign w:val="bottom"/>
          </w:tcPr>
          <w:p>
            <w:pPr>
              <w:spacing w:after="0"/>
              <w:rPr>
                <w:sz w:val="1"/>
                <w:szCs w:val="1"/>
                <w:color w:val="auto"/>
              </w:rPr>
            </w:pPr>
          </w:p>
        </w:tc>
      </w:tr>
      <w:tr>
        <w:trPr>
          <w:trHeight w:val="237"/>
        </w:trPr>
        <w:tc>
          <w:tcPr>
            <w:tcW w:w="146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4/8/2026</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Sell</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$14.0491</w:t>
            </w:r>
          </w:p>
        </w:tc>
        <w:tc>
          <w:tcPr>
            <w:tcW w:w="256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20"/>
                <w:szCs w:val="20"/>
                <w:color w:val="auto"/>
              </w:rPr>
              <w:t>60,571</w:t>
            </w:r>
          </w:p>
        </w:tc>
        <w:tc>
          <w:tcPr>
            <w:tcW w:w="58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1,236</w:t>
            </w:r>
          </w:p>
        </w:tc>
        <w:tc>
          <w:tcPr>
            <w:tcW w:w="0" w:type="dxa"/>
            <w:vAlign w:val="bottom"/>
          </w:tcPr>
          <w:p>
            <w:pPr>
              <w:spacing w:after="0"/>
              <w:rPr>
                <w:sz w:val="1"/>
                <w:szCs w:val="1"/>
                <w:color w:val="auto"/>
              </w:rPr>
            </w:pPr>
          </w:p>
        </w:tc>
      </w:tr>
      <w:tr>
        <w:trPr>
          <w:trHeight w:val="209"/>
        </w:trPr>
        <w:tc>
          <w:tcPr>
            <w:tcW w:w="1460" w:type="dxa"/>
            <w:vAlign w:val="bottom"/>
            <w:tcBorders>
              <w:bottom w:val="single" w:sz="8" w:color="auto"/>
              <w:right w:val="single" w:sz="8" w:color="auto"/>
            </w:tcBorders>
          </w:tcPr>
          <w:p>
            <w:pPr>
              <w:jc w:val="right"/>
              <w:ind w:right="21"/>
              <w:spacing w:after="0" w:line="209" w:lineRule="exact"/>
              <w:rPr>
                <w:sz w:val="20"/>
                <w:szCs w:val="20"/>
                <w:color w:val="auto"/>
              </w:rPr>
            </w:pPr>
            <w:r>
              <w:rPr>
                <w:rFonts w:ascii="Arial" w:cs="Arial" w:eastAsia="Arial" w:hAnsi="Arial"/>
                <w:sz w:val="20"/>
                <w:szCs w:val="20"/>
                <w:color w:val="auto"/>
              </w:rPr>
              <w:t>4/9/2026</w:t>
            </w:r>
          </w:p>
        </w:tc>
        <w:tc>
          <w:tcPr>
            <w:tcW w:w="130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5"/>
              </w:rPr>
              <w:t>Sell</w:t>
            </w:r>
          </w:p>
        </w:tc>
        <w:tc>
          <w:tcPr>
            <w:tcW w:w="15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$14.0530</w:t>
            </w:r>
          </w:p>
        </w:tc>
        <w:tc>
          <w:tcPr>
            <w:tcW w:w="2560" w:type="dxa"/>
            <w:vAlign w:val="bottom"/>
            <w:tcBorders>
              <w:bottom w:val="single" w:sz="8" w:color="auto"/>
            </w:tcBorders>
            <w:gridSpan w:val="3"/>
          </w:tcPr>
          <w:p>
            <w:pPr>
              <w:jc w:val="center"/>
              <w:ind w:left="441"/>
              <w:spacing w:after="0" w:line="209" w:lineRule="exact"/>
              <w:rPr>
                <w:sz w:val="20"/>
                <w:szCs w:val="20"/>
                <w:color w:val="auto"/>
              </w:rPr>
            </w:pPr>
            <w:r>
              <w:rPr>
                <w:rFonts w:ascii="Arial" w:cs="Arial" w:eastAsia="Arial" w:hAnsi="Arial"/>
                <w:sz w:val="20"/>
                <w:szCs w:val="20"/>
                <w:color w:val="auto"/>
              </w:rPr>
              <w:t>67,122</w:t>
            </w:r>
          </w:p>
        </w:tc>
        <w:tc>
          <w:tcPr>
            <w:tcW w:w="58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9"/>
              </w:rPr>
              <w:t>1,369</w:t>
            </w:r>
          </w:p>
        </w:tc>
        <w:tc>
          <w:tcPr>
            <w:tcW w:w="0" w:type="dxa"/>
            <w:vAlign w:val="bottom"/>
          </w:tcPr>
          <w:p>
            <w:pPr>
              <w:spacing w:after="0"/>
              <w:rPr>
                <w:sz w:val="1"/>
                <w:szCs w:val="1"/>
                <w:color w:val="auto"/>
              </w:rPr>
            </w:pPr>
          </w:p>
        </w:tc>
      </w:tr>
      <w:tr>
        <w:trPr>
          <w:trHeight w:val="210"/>
        </w:trPr>
        <w:tc>
          <w:tcPr>
            <w:tcW w:w="1460" w:type="dxa"/>
            <w:vAlign w:val="bottom"/>
            <w:tcBorders>
              <w:bottom w:val="single" w:sz="8" w:color="auto"/>
              <w:right w:val="single" w:sz="8" w:color="auto"/>
            </w:tcBorders>
          </w:tcPr>
          <w:p>
            <w:pPr>
              <w:jc w:val="right"/>
              <w:ind w:right="21"/>
              <w:spacing w:after="0" w:line="209" w:lineRule="exact"/>
              <w:rPr>
                <w:sz w:val="20"/>
                <w:szCs w:val="20"/>
                <w:color w:val="auto"/>
              </w:rPr>
            </w:pPr>
            <w:r>
              <w:rPr>
                <w:rFonts w:ascii="Arial" w:cs="Arial" w:eastAsia="Arial" w:hAnsi="Arial"/>
                <w:sz w:val="20"/>
                <w:szCs w:val="20"/>
                <w:color w:val="auto"/>
              </w:rPr>
              <w:t>4/10/2026</w:t>
            </w:r>
          </w:p>
        </w:tc>
        <w:tc>
          <w:tcPr>
            <w:tcW w:w="130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5"/>
              </w:rPr>
              <w:t>Sell</w:t>
            </w:r>
          </w:p>
        </w:tc>
        <w:tc>
          <w:tcPr>
            <w:tcW w:w="158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98"/>
              </w:rPr>
              <w:t>$13.9047</w:t>
            </w:r>
          </w:p>
        </w:tc>
        <w:tc>
          <w:tcPr>
            <w:tcW w:w="2560" w:type="dxa"/>
            <w:vAlign w:val="bottom"/>
            <w:tcBorders>
              <w:bottom w:val="single" w:sz="8" w:color="auto"/>
            </w:tcBorders>
            <w:gridSpan w:val="3"/>
          </w:tcPr>
          <w:p>
            <w:pPr>
              <w:jc w:val="center"/>
              <w:ind w:left="441"/>
              <w:spacing w:after="0" w:line="209" w:lineRule="exact"/>
              <w:rPr>
                <w:sz w:val="20"/>
                <w:szCs w:val="20"/>
                <w:color w:val="auto"/>
              </w:rPr>
            </w:pPr>
            <w:r>
              <w:rPr>
                <w:rFonts w:ascii="Arial" w:cs="Arial" w:eastAsia="Arial" w:hAnsi="Arial"/>
                <w:sz w:val="20"/>
                <w:szCs w:val="20"/>
                <w:color w:val="auto"/>
              </w:rPr>
              <w:t>28,655</w:t>
            </w:r>
          </w:p>
        </w:tc>
        <w:tc>
          <w:tcPr>
            <w:tcW w:w="58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rPr>
              <w:t>585</w:t>
            </w:r>
          </w:p>
        </w:tc>
        <w:tc>
          <w:tcPr>
            <w:tcW w:w="0" w:type="dxa"/>
            <w:vAlign w:val="bottom"/>
          </w:tcPr>
          <w:p>
            <w:pPr>
              <w:spacing w:after="0"/>
              <w:rPr>
                <w:sz w:val="1"/>
                <w:szCs w:val="1"/>
                <w:color w:val="auto"/>
              </w:rPr>
            </w:pPr>
          </w:p>
        </w:tc>
      </w:tr>
      <w:tr>
        <w:trPr>
          <w:trHeight w:val="1836"/>
        </w:trPr>
        <w:tc>
          <w:tcPr>
            <w:tcW w:w="14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2"/>
      <w:numFmt w:val="bullet"/>
      <w:start w:val="1"/>
    </w:lvl>
  </w:abstractNum>
  <w:abstractNum w:abstractNumId="2">
    <w:nsid w:val="625558EC"/>
    <w:multiLevelType w:val="hybridMultilevel"/>
    <w:lvl w:ilvl="0">
      <w:lvlJc w:val="left"/>
      <w:lvlText w:val="3"/>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2026-04-10T17:44:20Z</dcterms:created>
  <dcterms:modified xsi:type="dcterms:W3CDTF">2026-04-10T17:44:20Z</dcterms:modified>
</cp:coreProperties>
</file>